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090" w:type="dxa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77"/>
        <w:gridCol w:w="431"/>
        <w:gridCol w:w="508"/>
      </w:tblGrid>
      <w:tr w:rsidR="005932EA" w:rsidRPr="00171410" w14:paraId="1871877F" w14:textId="77777777" w:rsidTr="00C8653B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D2D1E" w14:textId="649547D7" w:rsidR="005932EA" w:rsidRPr="00171410" w:rsidRDefault="005932EA" w:rsidP="006653E1">
            <w:pPr>
              <w:pStyle w:val="RevisionTableHeading"/>
              <w:bidi/>
              <w:rPr>
                <w:color w:val="000000"/>
                <w:rtl/>
              </w:rPr>
            </w:pPr>
            <w:r>
              <w:rPr>
                <w:rtl/>
                <w:lang w:eastAsia="ar"/>
              </w:rPr>
              <w:t xml:space="preserve">اسم </w:t>
            </w:r>
            <w:r w:rsidR="006653E1">
              <w:rPr>
                <w:rFonts w:hint="cs"/>
                <w:rtl/>
                <w:lang w:eastAsia="ar"/>
              </w:rPr>
              <w:t xml:space="preserve">المرفق التعليمي : 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882FC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209" w14:textId="77777777" w:rsidR="005932EA" w:rsidRPr="00171410" w:rsidRDefault="005932EA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>النسخة -001</w:t>
            </w:r>
          </w:p>
        </w:tc>
      </w:tr>
      <w:tr w:rsidR="005932EA" w:rsidRPr="0093784F" w14:paraId="23E29353" w14:textId="77777777" w:rsidTr="00C8653B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7DDC4" w14:textId="77777777" w:rsidR="005932EA" w:rsidRPr="00F02DB9" w:rsidRDefault="005932EA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إدارة العمليات التشغيلية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7EBE" w14:textId="77777777" w:rsidR="005932EA" w:rsidRPr="0093784F" w:rsidRDefault="005932EA" w:rsidP="00C8653B">
            <w:pPr>
              <w:pStyle w:val="RevisionTableText"/>
              <w:bidi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75C" w14:textId="77777777" w:rsidR="005932EA" w:rsidRPr="0093784F" w:rsidRDefault="005932EA" w:rsidP="00C8653B">
            <w:pPr>
              <w:pStyle w:val="RevisionTableText"/>
              <w:bidi/>
            </w:pPr>
          </w:p>
        </w:tc>
      </w:tr>
      <w:tr w:rsidR="005932EA" w:rsidRPr="0093784F" w14:paraId="4C9984B1" w14:textId="77777777" w:rsidTr="00C8653B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A94E5" w14:textId="77777777" w:rsidR="005932EA" w:rsidRPr="0093784F" w:rsidRDefault="005932EA" w:rsidP="00C8653B">
            <w:pPr>
              <w:pStyle w:val="TableHeading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06EE271" w14:textId="77777777" w:rsidR="005932EA" w:rsidRPr="0093784F" w:rsidRDefault="005932EA" w:rsidP="00C8653B">
            <w:pPr>
              <w:pStyle w:val="TableHeading"/>
              <w:bidi/>
              <w:rPr>
                <w:color w:val="000000"/>
              </w:rPr>
            </w:pPr>
            <w:r w:rsidRPr="0093784F">
              <w:rPr>
                <w:rtl/>
                <w:lang w:eastAsia="ar"/>
              </w:rPr>
              <w:t>إجراءات 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1ED4E" w14:textId="77777777" w:rsidR="005932EA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 xml:space="preserve">تحقق منها </w:t>
            </w:r>
          </w:p>
          <w:p w14:paraId="0429A487" w14:textId="77777777" w:rsidR="005932EA" w:rsidRPr="002250E2" w:rsidRDefault="005932EA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5932EA" w:rsidRPr="0093784F" w14:paraId="1D4F9BB7" w14:textId="77777777" w:rsidTr="00C8653B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84563D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7ED3721" w14:textId="77777777" w:rsidR="005932EA" w:rsidRPr="0093784F" w:rsidRDefault="005932EA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8C613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يوجد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83C5FB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F0A6C" w14:textId="77777777" w:rsidR="005932EA" w:rsidRPr="002250E2" w:rsidRDefault="005932EA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5932EA" w:rsidRPr="0093784F" w14:paraId="38DB4D70" w14:textId="77777777" w:rsidTr="00C8653B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58417" w14:textId="77777777" w:rsidR="005932EA" w:rsidRPr="004E44DC" w:rsidRDefault="005932EA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E791A34" w14:textId="77777777" w:rsidR="005932EA" w:rsidRPr="00E10495" w:rsidRDefault="005932EA" w:rsidP="00C8653B">
            <w:pPr>
              <w:pStyle w:val="TableText"/>
              <w:bidi/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F31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279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5B5C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59EE590D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5036A53B" w14:textId="77777777" w:rsidR="005932EA" w:rsidRPr="00171410" w:rsidRDefault="005932EA" w:rsidP="00C8653B">
            <w:pPr>
              <w:pStyle w:val="TT9pt"/>
              <w:bidi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B6D9B01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الصحة والسلامة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6E055A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42847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DDFB34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6BE91F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B3DE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F21A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11919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0BD0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9A6B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047A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209B2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B339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6A8F6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D8DB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33B3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CD8E1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D743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F447B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303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5825A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A49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F8978B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0D441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1E4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محطات غسل العين وغرف استحمام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FA207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BC70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429CE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1A85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8226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5CF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مراجعة خطة الإخلاء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263F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DE6A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6DC3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5164391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2DAE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9CFD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المفوَّض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A790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825A6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2551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7DACF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AFC14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C0B" w14:textId="77777777" w:rsidR="005932EA" w:rsidRPr="00ED6824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ورشاشات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AD555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B048F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D164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5C24F2E0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158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943" w14:textId="77777777" w:rsidR="005932EA" w:rsidRPr="00ED6824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5B3D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0600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08CC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24BBFE3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08653A5" w14:textId="77777777" w:rsidR="005932EA" w:rsidRPr="007D04E4" w:rsidRDefault="005932EA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C43935F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779605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672496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97756DB" w14:textId="77777777" w:rsidR="005932EA" w:rsidRPr="007D04E4" w:rsidRDefault="005932EA" w:rsidP="00C8653B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932EA" w:rsidRPr="0093784F" w14:paraId="738B779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D475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F488" w14:textId="082DE506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الموافقات من مالك النظام / المدير / فريق المهندسين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CEA5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E6B27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A701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0695E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826D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6BC2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C166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94542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CE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BC7AA2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A12C5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BD0C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موافقة إدارة الجودة والصحة والسلامة والبيئة (</w:t>
            </w:r>
            <w:r>
              <w:rPr>
                <w:lang w:eastAsia="ar" w:bidi="en-US"/>
              </w:rPr>
              <w:t>QHSE</w:t>
            </w:r>
            <w:r>
              <w:rPr>
                <w:rtl/>
                <w:lang w:eastAsia="ar"/>
              </w:rPr>
              <w:t>) متاحة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59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6EB84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F929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1B20EAD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7B1A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F7F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088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FFE68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B33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99D8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DEBB8F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E3B48" w14:textId="77777777" w:rsidR="005932EA" w:rsidRPr="00C0102A" w:rsidRDefault="005932EA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C52D4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7851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68A97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8EC29A6" w14:textId="77777777" w:rsidTr="00C8653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95D54C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C8B39FA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43C0F2C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F1F05A4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4284BAF" w14:textId="77777777" w:rsidR="005932EA" w:rsidRPr="0093784F" w:rsidRDefault="005932EA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5932EA" w:rsidRPr="0093784F" w14:paraId="2AD6E093" w14:textId="77777777" w:rsidTr="00C8653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6C48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7F9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صحة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61395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E2948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7EC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0EC63E3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22FF0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B713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النظام خالٍ من الأعطال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6CFFC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E92F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92E2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6FF87F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0CD8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F07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4D987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DFC1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70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B18485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F2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67ECD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لافتات - التحقق من إغلاق مصادر الطاقة ووضع لافتات عليها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AB5F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7BBA52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7A95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C33FB3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D2F3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2E7E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التأكد من التوافق مع المخططات ونظام إدارة الأعمال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E965A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EC7A6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207BA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EAF3A4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99FD6" w14:textId="77777777" w:rsidR="005932E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59E53" w14:textId="77777777" w:rsidR="005932EA" w:rsidRDefault="005932EA" w:rsidP="00C8653B">
            <w:pPr>
              <w:pStyle w:val="TT9pt"/>
              <w:bidi/>
            </w:pPr>
            <w:r w:rsidRPr="00D64AA9">
              <w:rPr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8797D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9DE9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3D1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2D71BA23" w14:textId="77777777" w:rsidTr="00C8653B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35B4A3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3C435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F0C62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9EFE7E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3A008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403F017E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EA2AF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8D7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3DD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257AF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AC2C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00560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91743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E5309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إجراءات بدء التشغيل الصادرة عن شركة تصنيع المعدات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74571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3EBB0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996D3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E916B3A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7CCC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7CAA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وحدات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B48EC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D730D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A07F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7D943E4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B3C46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5014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10D27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7698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8971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8EBB706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E694D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AA941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تقارير الخدمات السابقة (الصادرة عن أطراف خارجية مختصة)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6C0D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44A2D8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280F9D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01AF7C7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5BD8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51374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فحص المحطات وأنظمة الإمداد الأساسية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E84CD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A0B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74B91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023552C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0821B" w14:textId="77777777" w:rsidR="005932EA" w:rsidRPr="003B71CA" w:rsidRDefault="005932EA" w:rsidP="00C8653B">
            <w:pPr>
              <w:pStyle w:val="TT9p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C268B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المخططات البيانية الميكانيكية والكهربائية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4F6914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F022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825C8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A86FB6B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6873513" w14:textId="77777777" w:rsidR="005932EA" w:rsidRPr="00171410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C0C0DAA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 xml:space="preserve">إجراءات الفحص عند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75335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C3F386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0633F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70FA251D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1948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مؤشرات تشغيل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E2A30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5A6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5DE3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6A022A9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EBA8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A395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تفقّد نظام الإنذار/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EE837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63B4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D04E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A5C6FC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9F6A4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EC77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عمل نظام / برنامج نظام إدارة المباني (</w:t>
            </w:r>
            <w:r w:rsidRPr="00C0102A">
              <w:rPr>
                <w:lang w:eastAsia="ar" w:bidi="en-US"/>
              </w:rPr>
              <w:t>BMS</w:t>
            </w:r>
            <w:r w:rsidRPr="00C0102A">
              <w:rPr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7408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2ACA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6F61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41C89E6F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91CCE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2D9D0" w14:textId="77777777" w:rsidR="005932EA" w:rsidRPr="00C0102A" w:rsidRDefault="005932EA" w:rsidP="00C8653B">
            <w:pPr>
              <w:pStyle w:val="TT9pt"/>
              <w:bidi/>
            </w:pPr>
            <w:r w:rsidRPr="006704EE">
              <w:rPr>
                <w:rtl/>
                <w:lang w:eastAsia="ar"/>
              </w:rPr>
              <w:t>التحقق من عمل النظام واتصاله بالإنترنت (معاينة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AC546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AED78F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06D93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C5C4CCC" w14:textId="77777777" w:rsidTr="00C8653B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872CFBB" w14:textId="77777777" w:rsidR="005932EA" w:rsidRPr="00CC5767" w:rsidRDefault="005932EA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79816BE" w14:textId="77777777" w:rsidR="005932EA" w:rsidRPr="004E44DC" w:rsidRDefault="005932EA" w:rsidP="00C8653B">
            <w:pPr>
              <w:pStyle w:val="TT9pt"/>
              <w:bidi/>
              <w:rPr>
                <w:b/>
                <w:bCs/>
              </w:rPr>
            </w:pPr>
            <w:r w:rsidRPr="004E44DC">
              <w:rPr>
                <w:b/>
                <w:bCs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AD60C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5649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AD1C415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5932EA" w:rsidRPr="0093784F" w14:paraId="6012CFE9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AE8A1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B3D01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204B5E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F846A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BC8CB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018ADEE2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BF1860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708F2" w14:textId="77777777" w:rsidR="005932EA" w:rsidRPr="00C0102A" w:rsidRDefault="005932EA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BEFF3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7A09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2091EC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7EECADF5" w14:textId="77777777" w:rsidTr="00C8653B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536E7" w14:textId="77777777" w:rsidR="005932EA" w:rsidRPr="00CC5767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81B9A" w14:textId="77777777" w:rsidR="005932EA" w:rsidRPr="00C0102A" w:rsidRDefault="005932EA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F7C687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87EBE0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0F17A" w14:textId="77777777" w:rsidR="005932EA" w:rsidRPr="0093784F" w:rsidRDefault="005932EA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12E49">
              <w:rPr>
                <w:rFonts w:cs="Arial"/>
                <w:color w:val="000000"/>
                <w:rtl/>
                <w:lang w:eastAsia="ar"/>
              </w:rPr>
            </w:r>
            <w:r w:rsidR="00412E49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5932EA" w:rsidRPr="0093784F" w14:paraId="3E282C0C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58DA8BA2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532BBAF7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4FB06BE6" w14:textId="77777777" w:rsidR="005932EA" w:rsidRPr="0093784F" w:rsidRDefault="005932EA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5932EA" w:rsidRPr="0093784F" w14:paraId="414BA8C1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EABDE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1F84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E9D0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375BAB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5C5F0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7492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327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53B17A5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49A6C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D8E9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148C" w14:textId="7777777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779A9689" w14:textId="77777777" w:rsidTr="00C8653B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71E8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4DF2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2C55" w14:textId="02155A17" w:rsidR="005932EA" w:rsidRPr="0093784F" w:rsidRDefault="005932EA" w:rsidP="00C8653B">
            <w:pPr>
              <w:pStyle w:val="TT9pt"/>
              <w:bidi/>
            </w:pPr>
          </w:p>
        </w:tc>
      </w:tr>
      <w:tr w:rsidR="005932EA" w:rsidRPr="0093784F" w14:paraId="24B0B369" w14:textId="77777777" w:rsidTr="00C8653B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07ED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FD7" w14:textId="77777777" w:rsidR="005932EA" w:rsidRPr="00171410" w:rsidRDefault="005932EA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5932EA" w:rsidRPr="0093784F" w14:paraId="3E9144BC" w14:textId="77777777" w:rsidTr="00C8653B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C17" w14:textId="77777777" w:rsidR="005932EA" w:rsidRPr="0093784F" w:rsidRDefault="005932EA" w:rsidP="00C8653B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9FD" w14:textId="77777777" w:rsidR="005932EA" w:rsidRPr="0093784F" w:rsidRDefault="005932EA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22CC" w14:textId="77777777" w:rsidR="00412E49" w:rsidRDefault="00412E49">
      <w:r>
        <w:separator/>
      </w:r>
    </w:p>
    <w:p w14:paraId="0A0BE1D3" w14:textId="77777777" w:rsidR="00412E49" w:rsidRDefault="00412E49"/>
  </w:endnote>
  <w:endnote w:type="continuationSeparator" w:id="0">
    <w:p w14:paraId="17D63EFF" w14:textId="77777777" w:rsidR="00412E49" w:rsidRDefault="00412E49">
      <w:r>
        <w:continuationSeparator/>
      </w:r>
    </w:p>
    <w:p w14:paraId="113B7CC7" w14:textId="77777777" w:rsidR="00412E49" w:rsidRDefault="00412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100FE0AA" w:rsidR="009210BF" w:rsidRDefault="00412E49" w:rsidP="006653E1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F5A48">
          <w:rPr>
            <w:sz w:val="16"/>
            <w:szCs w:val="16"/>
            <w:lang w:val="en-AU"/>
          </w:rPr>
          <w:t>EOM-ZO0-TP-000145</w:t>
        </w:r>
        <w:r w:rsidR="00342107">
          <w:rPr>
            <w:sz w:val="16"/>
            <w:szCs w:val="16"/>
            <w:lang w:val="en-AU"/>
          </w:rPr>
          <w:t>-AR</w:t>
        </w:r>
        <w:r w:rsidR="001F5A48">
          <w:rPr>
            <w:sz w:val="16"/>
            <w:szCs w:val="16"/>
            <w:lang w:val="en-AU"/>
          </w:rPr>
          <w:t xml:space="preserve"> Rev 00</w:t>
        </w:r>
        <w:r w:rsidR="00342107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F4BD6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F4BD6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5A31" w14:textId="77777777" w:rsidR="00412E49" w:rsidRDefault="00412E49">
      <w:r>
        <w:separator/>
      </w:r>
    </w:p>
    <w:p w14:paraId="0667FD32" w14:textId="77777777" w:rsidR="00412E49" w:rsidRDefault="00412E49"/>
  </w:footnote>
  <w:footnote w:type="continuationSeparator" w:id="0">
    <w:p w14:paraId="7F9D695A" w14:textId="77777777" w:rsidR="00412E49" w:rsidRDefault="00412E49">
      <w:r>
        <w:continuationSeparator/>
      </w:r>
    </w:p>
    <w:p w14:paraId="54DFA2F2" w14:textId="77777777" w:rsidR="00412E49" w:rsidRDefault="00412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B7EAB" w14:paraId="55B15A60" w14:textId="77777777" w:rsidTr="008B7EAB">
      <w:trPr>
        <w:trHeight w:val="571"/>
      </w:trPr>
      <w:tc>
        <w:tcPr>
          <w:tcW w:w="6845" w:type="dxa"/>
          <w:vAlign w:val="center"/>
        </w:tcPr>
        <w:p w14:paraId="361EC67C" w14:textId="7EE01076" w:rsidR="008B7EAB" w:rsidRPr="006A25F8" w:rsidRDefault="005F4BD6" w:rsidP="005F4BD6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ال</w:t>
          </w:r>
          <w:r w:rsidRPr="005548A5">
            <w:rPr>
              <w:kern w:val="32"/>
              <w:sz w:val="24"/>
              <w:szCs w:val="24"/>
              <w:rtl/>
              <w:lang w:eastAsia="ar"/>
            </w:rPr>
            <w:t>إجراءات التشغيل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ية</w:t>
          </w:r>
          <w:r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>ق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ائمة تدقيق بدء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تشغيل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أنظمة سلامة الحياة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8B7EAB" w:rsidRPr="005548A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6653E1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</w:p>
      </w:tc>
    </w:tr>
  </w:tbl>
  <w:p w14:paraId="0FE4F66F" w14:textId="74E46F68" w:rsidR="009210BF" w:rsidRPr="004B49FF" w:rsidRDefault="004B49FF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BB7826" wp14:editId="060C345D">
          <wp:simplePos x="0" y="0"/>
          <wp:positionH relativeFrom="column">
            <wp:posOffset>-563880</wp:posOffset>
          </wp:positionH>
          <wp:positionV relativeFrom="paragraph">
            <wp:posOffset>-495935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5A48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5392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107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2E49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274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49FF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BD6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53E1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EAB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6E7F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2938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6D6B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2FCC3-4FE0-4253-AB41-A20F4CAC8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1435B-7701-4EAF-B6C8-2F2DBBEE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EOM-ZO0-TP-000145-AR Rev 000</dc:subject>
  <dc:creator>Rivamonte, Leonnito (RMP)</dc:creator>
  <cp:keywords>ᅟ</cp:keywords>
  <cp:lastModifiedBy>جانسيل سالدانا  Jancil Saldhana</cp:lastModifiedBy>
  <cp:revision>96</cp:revision>
  <cp:lastPrinted>2017-10-17T10:11:00Z</cp:lastPrinted>
  <dcterms:created xsi:type="dcterms:W3CDTF">2019-12-16T06:44:00Z</dcterms:created>
  <dcterms:modified xsi:type="dcterms:W3CDTF">2021-12-19T08:39:00Z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